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6" w:rsidRPr="00AF4E5B" w:rsidRDefault="00C85DF6" w:rsidP="008F1CC7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F1CC7" w:rsidRPr="008F1CC7">
        <w:rPr>
          <w:rFonts w:ascii="Arial" w:hAnsi="Arial" w:cs="Arial"/>
          <w:bCs/>
          <w:spacing w:val="-3"/>
          <w:sz w:val="22"/>
          <w:szCs w:val="22"/>
        </w:rPr>
        <w:t xml:space="preserve">Queensland Treasury Corporation </w:t>
      </w:r>
      <w:r w:rsidR="008F1CC7">
        <w:rPr>
          <w:rFonts w:ascii="Arial" w:hAnsi="Arial" w:cs="Arial"/>
          <w:bCs/>
          <w:spacing w:val="-3"/>
          <w:sz w:val="22"/>
          <w:szCs w:val="22"/>
        </w:rPr>
        <w:t>(</w:t>
      </w:r>
      <w:r>
        <w:rPr>
          <w:rFonts w:ascii="Arial" w:hAnsi="Arial" w:cs="Arial"/>
          <w:bCs/>
          <w:spacing w:val="-3"/>
          <w:sz w:val="22"/>
          <w:szCs w:val="22"/>
        </w:rPr>
        <w:t>QTC</w:t>
      </w:r>
      <w:r w:rsidR="008F1CC7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Capital Markets </w:t>
      </w:r>
      <w:r w:rsidRPr="00AF4E5B">
        <w:rPr>
          <w:rFonts w:ascii="Arial" w:hAnsi="Arial" w:cs="Arial"/>
          <w:bCs/>
          <w:spacing w:val="-3"/>
          <w:sz w:val="22"/>
          <w:szCs w:val="22"/>
        </w:rPr>
        <w:t xml:space="preserve">Board is </w:t>
      </w:r>
      <w:r w:rsidR="00871957">
        <w:rPr>
          <w:rFonts w:ascii="Arial" w:hAnsi="Arial" w:cs="Arial"/>
          <w:sz w:val="22"/>
          <w:szCs w:val="22"/>
        </w:rPr>
        <w:t>established under section </w:t>
      </w:r>
      <w:r w:rsidRPr="00AF4E5B">
        <w:rPr>
          <w:rFonts w:ascii="Arial" w:hAnsi="Arial" w:cs="Arial"/>
          <w:sz w:val="22"/>
          <w:szCs w:val="22"/>
        </w:rPr>
        <w:t xml:space="preserve">10 of the </w:t>
      </w:r>
      <w:r w:rsidRPr="00AF4E5B">
        <w:rPr>
          <w:rFonts w:ascii="Arial" w:hAnsi="Arial" w:cs="Arial"/>
          <w:i/>
          <w:sz w:val="22"/>
          <w:szCs w:val="22"/>
        </w:rPr>
        <w:t>Queensland Treasury Corporation Act 1988</w:t>
      </w:r>
      <w:r w:rsidR="008F1CC7">
        <w:rPr>
          <w:rFonts w:ascii="Arial" w:hAnsi="Arial" w:cs="Arial"/>
          <w:sz w:val="22"/>
          <w:szCs w:val="22"/>
        </w:rPr>
        <w:t xml:space="preserve"> </w:t>
      </w:r>
      <w:r w:rsidRPr="00AF4E5B">
        <w:rPr>
          <w:rFonts w:ascii="Arial" w:hAnsi="Arial" w:cs="Arial"/>
          <w:sz w:val="22"/>
          <w:szCs w:val="22"/>
        </w:rPr>
        <w:t>and is responsible for managing all of QTC’s affairs, except those relating to certain superannuation and other long-term assets.  Board responsibilities include:</w:t>
      </w:r>
    </w:p>
    <w:p w:rsidR="00C85DF6" w:rsidRPr="00AF4E5B" w:rsidRDefault="00C85DF6" w:rsidP="008F1CC7">
      <w:pPr>
        <w:numPr>
          <w:ilvl w:val="0"/>
          <w:numId w:val="4"/>
        </w:numPr>
        <w:tabs>
          <w:tab w:val="clear" w:pos="360"/>
          <w:tab w:val="num" w:pos="851"/>
        </w:tabs>
        <w:spacing w:before="120"/>
        <w:ind w:left="850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 xml:space="preserve">overseeing QTC’s operations, including its control and accountability systems; </w:t>
      </w:r>
    </w:p>
    <w:p w:rsidR="00C85DF6" w:rsidRPr="00AF4E5B" w:rsidRDefault="00C85DF6" w:rsidP="008F1CC7">
      <w:pPr>
        <w:numPr>
          <w:ilvl w:val="0"/>
          <w:numId w:val="4"/>
        </w:numPr>
        <w:tabs>
          <w:tab w:val="clear" w:pos="360"/>
          <w:tab w:val="num" w:pos="851"/>
        </w:tabs>
        <w:spacing w:before="12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>developing and monitoring QTC’s strategic and corporate plans, operational policy and yearly budge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AF4E5B">
        <w:rPr>
          <w:rFonts w:ascii="Arial" w:hAnsi="Arial" w:cs="Arial"/>
          <w:color w:val="auto"/>
          <w:sz w:val="22"/>
          <w:szCs w:val="22"/>
        </w:rPr>
        <w:t>;</w:t>
      </w:r>
    </w:p>
    <w:p w:rsidR="00C85DF6" w:rsidRPr="00AF4E5B" w:rsidRDefault="00C85DF6" w:rsidP="008F1CC7">
      <w:pPr>
        <w:numPr>
          <w:ilvl w:val="0"/>
          <w:numId w:val="4"/>
        </w:numPr>
        <w:tabs>
          <w:tab w:val="clear" w:pos="360"/>
          <w:tab w:val="num" w:pos="851"/>
        </w:tabs>
        <w:spacing w:before="12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>monitoring and measuring financial and operational performance;</w:t>
      </w:r>
    </w:p>
    <w:p w:rsidR="00C85DF6" w:rsidRPr="00AF4E5B" w:rsidRDefault="00C85DF6" w:rsidP="008F1CC7">
      <w:pPr>
        <w:numPr>
          <w:ilvl w:val="0"/>
          <w:numId w:val="4"/>
        </w:numPr>
        <w:tabs>
          <w:tab w:val="clear" w:pos="360"/>
          <w:tab w:val="num" w:pos="851"/>
        </w:tabs>
        <w:spacing w:before="12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 xml:space="preserve">monitoring and measuring organisational and staff performance; </w:t>
      </w:r>
    </w:p>
    <w:p w:rsidR="00C85DF6" w:rsidRPr="00AF4E5B" w:rsidRDefault="00C85DF6" w:rsidP="008F1CC7">
      <w:pPr>
        <w:numPr>
          <w:ilvl w:val="0"/>
          <w:numId w:val="4"/>
        </w:numPr>
        <w:tabs>
          <w:tab w:val="clear" w:pos="360"/>
          <w:tab w:val="num" w:pos="851"/>
        </w:tabs>
        <w:spacing w:before="12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 xml:space="preserve">monitoring key risks and risk management processes; and </w:t>
      </w:r>
    </w:p>
    <w:p w:rsidR="00C85DF6" w:rsidRPr="00AF4E5B" w:rsidRDefault="00C85DF6" w:rsidP="008F1CC7">
      <w:pPr>
        <w:numPr>
          <w:ilvl w:val="0"/>
          <w:numId w:val="4"/>
        </w:numPr>
        <w:tabs>
          <w:tab w:val="clear" w:pos="360"/>
          <w:tab w:val="num" w:pos="851"/>
        </w:tabs>
        <w:spacing w:before="120"/>
        <w:ind w:left="851" w:hanging="425"/>
        <w:rPr>
          <w:rFonts w:ascii="Arial" w:hAnsi="Arial" w:cs="Arial"/>
          <w:bCs/>
          <w:spacing w:val="-3"/>
          <w:sz w:val="22"/>
          <w:szCs w:val="22"/>
        </w:rPr>
      </w:pPr>
      <w:r w:rsidRPr="00AF4E5B">
        <w:rPr>
          <w:rFonts w:ascii="Arial" w:hAnsi="Arial" w:cs="Arial"/>
          <w:color w:val="auto"/>
          <w:sz w:val="22"/>
          <w:szCs w:val="22"/>
        </w:rPr>
        <w:t>ensuring that QTC’s compliance is appropriate for an organisation of its type.</w:t>
      </w:r>
    </w:p>
    <w:p w:rsidR="00C85DF6" w:rsidRPr="00C85DF6" w:rsidRDefault="00C85DF6" w:rsidP="008F1CC7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186033">
        <w:rPr>
          <w:rFonts w:ascii="Arial" w:hAnsi="Arial" w:cs="Arial"/>
          <w:bCs/>
          <w:spacing w:val="-3"/>
          <w:sz w:val="22"/>
          <w:szCs w:val="22"/>
        </w:rPr>
        <w:t>vacancy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exist</w:t>
      </w:r>
      <w:r w:rsidR="00C3120A">
        <w:rPr>
          <w:rFonts w:ascii="Arial" w:hAnsi="Arial" w:cs="Arial"/>
          <w:bCs/>
          <w:spacing w:val="-3"/>
          <w:sz w:val="22"/>
          <w:szCs w:val="22"/>
        </w:rPr>
        <w:t>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 the board following the resignation of </w:t>
      </w:r>
      <w:r w:rsidR="003D4E53">
        <w:rPr>
          <w:rFonts w:ascii="Arial" w:hAnsi="Arial" w:cs="Arial"/>
          <w:bCs/>
          <w:spacing w:val="-3"/>
          <w:sz w:val="22"/>
          <w:szCs w:val="22"/>
        </w:rPr>
        <w:t>Ms Gillian Brown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="008F1CC7">
        <w:rPr>
          <w:rFonts w:ascii="Arial" w:hAnsi="Arial" w:cs="Arial"/>
          <w:bCs/>
          <w:spacing w:val="-3"/>
          <w:sz w:val="22"/>
          <w:szCs w:val="22"/>
        </w:rPr>
        <w:t>The appointment of</w:t>
      </w:r>
      <w:r w:rsidR="003D4E53">
        <w:rPr>
          <w:rFonts w:ascii="Arial" w:hAnsi="Arial" w:cs="Arial"/>
          <w:bCs/>
          <w:spacing w:val="-3"/>
          <w:sz w:val="22"/>
          <w:szCs w:val="22"/>
        </w:rPr>
        <w:t xml:space="preserve"> Mr Williams Shields</w:t>
      </w:r>
      <w:r w:rsidR="008F1CC7">
        <w:rPr>
          <w:rFonts w:ascii="Arial" w:hAnsi="Arial" w:cs="Arial"/>
          <w:bCs/>
          <w:spacing w:val="-3"/>
          <w:sz w:val="22"/>
          <w:szCs w:val="22"/>
        </w:rPr>
        <w:t xml:space="preserve"> expired on 30 June 2015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85DF6" w:rsidRPr="00EF27EE" w:rsidRDefault="00C85DF6" w:rsidP="008F1CC7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E5B">
        <w:rPr>
          <w:rFonts w:ascii="Arial" w:hAnsi="Arial" w:cs="Arial"/>
          <w:sz w:val="22"/>
          <w:szCs w:val="22"/>
        </w:rPr>
        <w:t>Board members are appointed by the Governor in Council under section 10(2) of the Act.</w:t>
      </w:r>
    </w:p>
    <w:p w:rsidR="00C85DF6" w:rsidRPr="00C85DF6" w:rsidRDefault="00C85DF6" w:rsidP="008F1CC7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</w:t>
      </w:r>
      <w:r w:rsidR="003D4E53">
        <w:rPr>
          <w:rFonts w:ascii="Arial" w:hAnsi="Arial" w:cs="Arial"/>
          <w:sz w:val="22"/>
          <w:szCs w:val="22"/>
        </w:rPr>
        <w:t xml:space="preserve">Ms </w:t>
      </w:r>
      <w:r w:rsidR="00392D75">
        <w:rPr>
          <w:rFonts w:ascii="Arial" w:hAnsi="Arial" w:cs="Arial"/>
          <w:sz w:val="22"/>
          <w:szCs w:val="22"/>
        </w:rPr>
        <w:t>Karen Smith-Pomeroy</w:t>
      </w:r>
      <w:r>
        <w:rPr>
          <w:rFonts w:ascii="Arial" w:hAnsi="Arial" w:cs="Arial"/>
          <w:sz w:val="22"/>
          <w:szCs w:val="22"/>
        </w:rPr>
        <w:t xml:space="preserve"> be recommended to the Governor in Council for appointment as a member to the QTC Board for a term </w:t>
      </w:r>
      <w:r w:rsidR="003D4E53">
        <w:rPr>
          <w:rFonts w:ascii="Arial" w:hAnsi="Arial" w:cs="Arial"/>
          <w:sz w:val="22"/>
          <w:szCs w:val="22"/>
        </w:rPr>
        <w:t xml:space="preserve">of four years </w:t>
      </w:r>
      <w:r>
        <w:rPr>
          <w:rFonts w:ascii="Arial" w:hAnsi="Arial" w:cs="Arial"/>
          <w:sz w:val="22"/>
          <w:szCs w:val="22"/>
        </w:rPr>
        <w:t>commencing from the date of Governor in Council approval.</w:t>
      </w:r>
    </w:p>
    <w:p w:rsidR="00C85DF6" w:rsidRPr="00C3120A" w:rsidRDefault="00356DF6" w:rsidP="008F1CC7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C85DF6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C85DF6">
        <w:rPr>
          <w:rFonts w:ascii="Arial" w:hAnsi="Arial" w:cs="Arial"/>
          <w:sz w:val="22"/>
          <w:szCs w:val="22"/>
        </w:rPr>
        <w:t xml:space="preserve"> that Mr </w:t>
      </w:r>
      <w:r w:rsidR="003D4E53">
        <w:rPr>
          <w:rFonts w:ascii="Arial" w:hAnsi="Arial" w:cs="Arial"/>
          <w:sz w:val="22"/>
          <w:szCs w:val="22"/>
        </w:rPr>
        <w:t>William Shields</w:t>
      </w:r>
      <w:r w:rsidR="00C85DF6">
        <w:rPr>
          <w:rFonts w:ascii="Arial" w:hAnsi="Arial" w:cs="Arial"/>
          <w:sz w:val="22"/>
          <w:szCs w:val="22"/>
        </w:rPr>
        <w:t xml:space="preserve"> be recommended to the Governor in Council as a member to the QTC Board </w:t>
      </w:r>
      <w:r w:rsidR="003D4E53">
        <w:rPr>
          <w:rFonts w:ascii="Arial" w:hAnsi="Arial" w:cs="Arial"/>
          <w:sz w:val="22"/>
          <w:szCs w:val="22"/>
        </w:rPr>
        <w:t>for a term of two years commencing from the date of Governor in Council approval</w:t>
      </w:r>
      <w:r w:rsidR="00C85DF6">
        <w:rPr>
          <w:rFonts w:ascii="Arial" w:hAnsi="Arial" w:cs="Arial"/>
          <w:sz w:val="22"/>
          <w:szCs w:val="22"/>
        </w:rPr>
        <w:t>.</w:t>
      </w:r>
    </w:p>
    <w:p w:rsidR="00C3120A" w:rsidRPr="00C3120A" w:rsidRDefault="00C3120A" w:rsidP="008F1CC7">
      <w:pPr>
        <w:keepLines/>
        <w:numPr>
          <w:ilvl w:val="0"/>
          <w:numId w:val="3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120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C85DF6" w:rsidRDefault="00C3120A" w:rsidP="008F1CC7">
      <w:pPr>
        <w:keepLines/>
        <w:numPr>
          <w:ilvl w:val="1"/>
          <w:numId w:val="3"/>
        </w:numPr>
        <w:tabs>
          <w:tab w:val="clear" w:pos="360"/>
          <w:tab w:val="num" w:pos="851"/>
        </w:tabs>
        <w:spacing w:before="120"/>
        <w:ind w:left="851" w:hanging="425"/>
        <w:jc w:val="both"/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32E22" w:rsidRPr="00C85DF6" w:rsidSect="005B6976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EB" w:rsidRDefault="00A82DEB" w:rsidP="00D6589B">
      <w:r>
        <w:separator/>
      </w:r>
    </w:p>
  </w:endnote>
  <w:endnote w:type="continuationSeparator" w:id="0">
    <w:p w:rsidR="00A82DEB" w:rsidRDefault="00A82DE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EB" w:rsidRDefault="00A82DEB" w:rsidP="00D6589B">
      <w:r>
        <w:separator/>
      </w:r>
    </w:p>
  </w:footnote>
  <w:footnote w:type="continuationSeparator" w:id="0">
    <w:p w:rsidR="00A82DEB" w:rsidRDefault="00A82DE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D4E53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392D75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3D4E53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CB1501" w:rsidRDefault="00C85D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Directors to the Queensland Treasury Corporation Capital Markets Board </w:t>
    </w:r>
  </w:p>
  <w:p w:rsidR="00CB1501" w:rsidRDefault="003D4E5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Treasurer, Minister for Employment and Industrial Relations, Minister for Aboriginal and Torres Strait Islander Partnerships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CF7C4AF4"/>
    <w:lvl w:ilvl="0" w:tplc="E4484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7AE8"/>
    <w:rsid w:val="00080F8F"/>
    <w:rsid w:val="0010384C"/>
    <w:rsid w:val="00174117"/>
    <w:rsid w:val="00186033"/>
    <w:rsid w:val="0021271A"/>
    <w:rsid w:val="00230DB6"/>
    <w:rsid w:val="002B01AE"/>
    <w:rsid w:val="00356DF6"/>
    <w:rsid w:val="0037614D"/>
    <w:rsid w:val="00392D75"/>
    <w:rsid w:val="00396F0D"/>
    <w:rsid w:val="003C1FBD"/>
    <w:rsid w:val="003D10B3"/>
    <w:rsid w:val="003D4E53"/>
    <w:rsid w:val="00417BAD"/>
    <w:rsid w:val="00486844"/>
    <w:rsid w:val="00501C19"/>
    <w:rsid w:val="00501C66"/>
    <w:rsid w:val="00550873"/>
    <w:rsid w:val="005B6976"/>
    <w:rsid w:val="005C62A4"/>
    <w:rsid w:val="0065440E"/>
    <w:rsid w:val="006E1004"/>
    <w:rsid w:val="007265D0"/>
    <w:rsid w:val="00732E22"/>
    <w:rsid w:val="00741C20"/>
    <w:rsid w:val="00781DE1"/>
    <w:rsid w:val="008467A1"/>
    <w:rsid w:val="008649B2"/>
    <w:rsid w:val="00871957"/>
    <w:rsid w:val="008F1CC7"/>
    <w:rsid w:val="008F1F5B"/>
    <w:rsid w:val="00904077"/>
    <w:rsid w:val="009073B3"/>
    <w:rsid w:val="00924185"/>
    <w:rsid w:val="00933BAB"/>
    <w:rsid w:val="00937A4A"/>
    <w:rsid w:val="00945402"/>
    <w:rsid w:val="00976421"/>
    <w:rsid w:val="00A14E1F"/>
    <w:rsid w:val="00A17C99"/>
    <w:rsid w:val="00A82DEB"/>
    <w:rsid w:val="00AE4985"/>
    <w:rsid w:val="00C04ED9"/>
    <w:rsid w:val="00C3120A"/>
    <w:rsid w:val="00C75E67"/>
    <w:rsid w:val="00C85DF6"/>
    <w:rsid w:val="00CB1501"/>
    <w:rsid w:val="00CD7A50"/>
    <w:rsid w:val="00CF0D8A"/>
    <w:rsid w:val="00D1740E"/>
    <w:rsid w:val="00D6589B"/>
    <w:rsid w:val="00D766EC"/>
    <w:rsid w:val="00EA488B"/>
    <w:rsid w:val="00F13DBE"/>
    <w:rsid w:val="00F24ED8"/>
    <w:rsid w:val="00F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79134-CD22-41FC-84D6-3793E354B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B2FA-FC62-429A-80E3-818E998472F1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651CD3-22B5-43D1-8167-909F752928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BCB8BC-6B65-424E-AED2-5517C466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217</Words>
  <Characters>1211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>https://www.cabinet.qld.gov.au/documents/2015/Jul/ApptQTCCapMkts/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2015-06-21T23:50:00Z</cp:lastPrinted>
  <dcterms:created xsi:type="dcterms:W3CDTF">2017-10-25T01:32:00Z</dcterms:created>
  <dcterms:modified xsi:type="dcterms:W3CDTF">2018-03-06T01:28:00Z</dcterms:modified>
  <cp:category>Significant_Appointments,Public_Service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0x010100C7BD08439FA548A39DD6F4EEA9A4DD920028A0CA45A385418C914557FFC286F13E004EB8CA558F2C6042A832EDA2471880AF</vt:lpwstr>
  </property>
  <property fmtid="{D5CDD505-2E9C-101B-9397-08002B2CF9AE}" pid="6" name="_dlc_DocIdItemGuid">
    <vt:lpwstr>add379b8-c25e-47b2-b1be-4a92127726b0</vt:lpwstr>
  </property>
  <property fmtid="{D5CDD505-2E9C-101B-9397-08002B2CF9AE}" pid="7" name="_dlc_DocId">
    <vt:lpwstr>BUSNCLLO-74-22</vt:lpwstr>
  </property>
  <property fmtid="{D5CDD505-2E9C-101B-9397-08002B2CF9AE}" pid="8" name="_dlc_DocIdUrl">
    <vt:lpwstr>https://nexus.treasury.qld.gov.au/business/cabinet-services/dpc-reporting/_layouts/15/DocIdRedir.aspx?ID=BUSNCLLO-74-22, BUSNCLLO-74-22</vt:lpwstr>
  </property>
</Properties>
</file>